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525.0" w:type="dxa"/>
        <w:jc w:val="left"/>
        <w:tblLayout w:type="fixed"/>
        <w:tblLook w:val="0400"/>
      </w:tblPr>
      <w:tblGrid>
        <w:gridCol w:w="2505"/>
        <w:gridCol w:w="2505"/>
        <w:gridCol w:w="2505"/>
        <w:gridCol w:w="2505"/>
        <w:gridCol w:w="2505"/>
        <w:tblGridChange w:id="0">
          <w:tblGrid>
            <w:gridCol w:w="2505"/>
            <w:gridCol w:w="2505"/>
            <w:gridCol w:w="2505"/>
            <w:gridCol w:w="2505"/>
            <w:gridCol w:w="25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– 3° básico 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OA6 Textos no literarios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Comprensión lectora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Selección múltiple.</w:t>
            </w:r>
          </w:p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Redacción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Repertorio “Colibrí y la lluvia”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Interpretación instrumental flauta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Griegos (Parte 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complementaria:Historia de un caracol que descubrió la importancia de la lentitud.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Selección múltiple</w:t>
            </w:r>
          </w:p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Redacción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OA2-OA3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Color: frío y cálido.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trabajo realizado en clases durante el mes.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8oUuuvSOULfnqTQyOjllHJjJSA==">CgMxLjA4AHIhMXFxVlhXdGgzaEs1TGx0eVREYmJyN0RBeEZlcGlJUC1y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