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675.0" w:type="dxa"/>
        <w:jc w:val="left"/>
        <w:tblLayout w:type="fixed"/>
        <w:tblLook w:val="0400"/>
      </w:tblPr>
      <w:tblGrid>
        <w:gridCol w:w="2535"/>
        <w:gridCol w:w="2535"/>
        <w:gridCol w:w="2535"/>
        <w:gridCol w:w="2535"/>
        <w:gridCol w:w="2535"/>
        <w:tblGridChange w:id="0">
          <w:tblGrid>
            <w:gridCol w:w="2535"/>
            <w:gridCol w:w="2535"/>
            <w:gridCol w:w="2535"/>
            <w:gridCol w:w="2535"/>
            <w:gridCol w:w="253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2026 - 6° básico 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</w:t>
            </w:r>
          </w:p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MUSICA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 OA2</w:t>
            </w:r>
          </w:p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 Cantar al unísono y a más voces y tocar instrumentos de percusión, melódicos (metalófono, flauta dulce u otros) y/o armónicos (guitarra, teclado, otros).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Escultura volumen lleno y vacío.</w:t>
            </w:r>
          </w:p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WHEN THE SAINT GO MARCHIN IN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Entrega proyecto escultórico.</w:t>
            </w:r>
          </w:p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Rúbrica</w:t>
            </w:r>
          </w:p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instrumental y lectura a primera vista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OA03 Leer y familiarizarse con un amplio repertorio de literatura para aumentar su conocimiento del mundo, desarrollar su imaginación y reconocer su valor social y cultural; 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Plan lector “El Lazarillo contado a los niños”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Ciencias naturales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OA2-3</w:t>
              <w:br w:type="textWrapping"/>
              <w:t xml:space="preserve">Representar, por medio de modelos,</w:t>
            </w:r>
          </w:p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la transferencia de energía y materia</w:t>
            </w:r>
          </w:p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desde los organismos fotosintéticos a</w:t>
            </w:r>
          </w:p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otros seres vivos por medio de cadenas y redes alimentarias en diferentes</w:t>
            </w:r>
          </w:p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ecosistemas.</w:t>
            </w:r>
          </w:p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Analizar los efectos de la actividad</w:t>
            </w:r>
          </w:p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humana sobre las redes alimentarias</w:t>
            </w:r>
          </w:p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Cadenas troficas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escrita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Tecnología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OA5; OA6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Video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Rúbrica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OA09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Demostrar que comprenden la relación entre los valores de una tabla y aplicarla en la resolución de problemas sencillos: › identificando patrones entre los valores de la tabla › formulando una regla con lenguaje matemático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Patrones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+/+13OJVE7bex7C18Ab5L59AlA==">CgMxLjA4AHIhMVBHMG1tYTN5dWY0ZGJ4czFBMXJ2YXhQNWdrVXA3RDVf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