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85.000000000002" w:type="dxa"/>
        <w:jc w:val="left"/>
        <w:tblLayout w:type="fixed"/>
        <w:tblLook w:val="0400"/>
      </w:tblPr>
      <w:tblGrid>
        <w:gridCol w:w="2577.0000000000005"/>
        <w:gridCol w:w="2577.0000000000005"/>
        <w:gridCol w:w="2577.0000000000005"/>
        <w:gridCol w:w="2577.0000000000005"/>
        <w:gridCol w:w="2577.0000000000005"/>
        <w:tblGridChange w:id="0">
          <w:tblGrid>
            <w:gridCol w:w="2577.0000000000005"/>
            <w:gridCol w:w="2577.0000000000005"/>
            <w:gridCol w:w="2577.0000000000005"/>
            <w:gridCol w:w="2577.0000000000005"/>
            <w:gridCol w:w="2577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2026 - 1° medio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Desarrollar un producto tecnológico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Construcción producto tecnológico: luminaria de cartón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de arquitectura: cafetería. Lámina de proyecto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 de laboratorio Fotosíntesis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Sistemas de ecuaciones (2x2)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OA17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18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Economía del Salitre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Leyes Ponderales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Mensual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OA 3 Cantar y tocar repertorio diverso y relacionado con la música escuchada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del folclor chileno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instrumental de repertorio chileno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kvud6iRH4r2KrflbWfEL1fSnQ==">CgMxLjA4AHIhMVczX0taMFFhX3JVTk1TR3FKTWFZT3ptQi1kbDBIY1Vn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