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70.0" w:type="dxa"/>
        <w:jc w:val="left"/>
        <w:tblLayout w:type="fixed"/>
        <w:tblLook w:val="0400"/>
      </w:tblPr>
      <w:tblGrid>
        <w:gridCol w:w="2514"/>
        <w:gridCol w:w="2514"/>
        <w:gridCol w:w="2514"/>
        <w:gridCol w:w="2514"/>
        <w:gridCol w:w="2514"/>
        <w:tblGridChange w:id="0">
          <w:tblGrid>
            <w:gridCol w:w="2514"/>
            <w:gridCol w:w="2514"/>
            <w:gridCol w:w="2514"/>
            <w:gridCol w:w="2514"/>
            <w:gridCol w:w="251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2026 - 2° medio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Características del Carbono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Física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10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Leyes de Newton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 visual: la máscara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Formulario Google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Máscara.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Mensual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Función cuadrática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Ev. de comprensión lectora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fmlAERyUXQreamTSGRR6e8yGQ==">CgMxLjA4AHIhMWl0UTJoaXJmYzZZQUc1bGdBaU10TTUxT2VGS3lIZTU4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